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301CF6F"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77FD634" w14:textId="77777777" w:rsidR="001740C8" w:rsidRPr="00657009" w:rsidRDefault="001740C8"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C610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276BB5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A41B2">
              <w:rPr>
                <w:noProof/>
                <w:webHidden/>
              </w:rPr>
              <w:t>2</w:t>
            </w:r>
            <w:r>
              <w:rPr>
                <w:noProof/>
                <w:webHidden/>
              </w:rPr>
              <w:fldChar w:fldCharType="end"/>
            </w:r>
          </w:hyperlink>
        </w:p>
        <w:p w14:paraId="47CC41D1" w14:textId="33EA11C8" w:rsidR="00F46719" w:rsidRDefault="003C610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A41B2">
              <w:rPr>
                <w:noProof/>
                <w:webHidden/>
              </w:rPr>
              <w:t>2</w:t>
            </w:r>
            <w:r w:rsidR="00F46719">
              <w:rPr>
                <w:noProof/>
                <w:webHidden/>
              </w:rPr>
              <w:fldChar w:fldCharType="end"/>
            </w:r>
          </w:hyperlink>
        </w:p>
        <w:p w14:paraId="0205BF1A" w14:textId="147F24B3" w:rsidR="00F46719" w:rsidRDefault="003C610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A41B2">
              <w:rPr>
                <w:noProof/>
                <w:webHidden/>
              </w:rPr>
              <w:t>2</w:t>
            </w:r>
            <w:r w:rsidR="00F46719">
              <w:rPr>
                <w:noProof/>
                <w:webHidden/>
              </w:rPr>
              <w:fldChar w:fldCharType="end"/>
            </w:r>
          </w:hyperlink>
        </w:p>
        <w:p w14:paraId="3181098F" w14:textId="2AE354B7" w:rsidR="00F46719" w:rsidRDefault="003C610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A41B2">
              <w:rPr>
                <w:noProof/>
                <w:webHidden/>
              </w:rPr>
              <w:t>3</w:t>
            </w:r>
            <w:r w:rsidR="00F46719">
              <w:rPr>
                <w:noProof/>
                <w:webHidden/>
              </w:rPr>
              <w:fldChar w:fldCharType="end"/>
            </w:r>
          </w:hyperlink>
        </w:p>
        <w:p w14:paraId="3E5886DF" w14:textId="1C38B029" w:rsidR="00F46719" w:rsidRDefault="003C610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A41B2">
              <w:rPr>
                <w:noProof/>
                <w:webHidden/>
              </w:rPr>
              <w:t>6</w:t>
            </w:r>
            <w:r w:rsidR="00F46719">
              <w:rPr>
                <w:noProof/>
                <w:webHidden/>
              </w:rPr>
              <w:fldChar w:fldCharType="end"/>
            </w:r>
          </w:hyperlink>
        </w:p>
        <w:p w14:paraId="653AF446" w14:textId="100B2F76" w:rsidR="00F46719" w:rsidRDefault="003C610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A41B2">
              <w:rPr>
                <w:noProof/>
                <w:webHidden/>
              </w:rPr>
              <w:t>7</w:t>
            </w:r>
            <w:r w:rsidR="00F46719">
              <w:rPr>
                <w:noProof/>
                <w:webHidden/>
              </w:rPr>
              <w:fldChar w:fldCharType="end"/>
            </w:r>
          </w:hyperlink>
        </w:p>
        <w:p w14:paraId="21BA046A" w14:textId="657AA7FF" w:rsidR="00F46719" w:rsidRDefault="003C610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A41B2">
              <w:rPr>
                <w:noProof/>
                <w:webHidden/>
              </w:rPr>
              <w:t>8</w:t>
            </w:r>
            <w:r w:rsidR="00F46719">
              <w:rPr>
                <w:noProof/>
                <w:webHidden/>
              </w:rPr>
              <w:fldChar w:fldCharType="end"/>
            </w:r>
          </w:hyperlink>
        </w:p>
        <w:p w14:paraId="784807F5" w14:textId="6994D016" w:rsidR="00F46719" w:rsidRDefault="003C610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A41B2">
              <w:rPr>
                <w:noProof/>
                <w:webHidden/>
              </w:rPr>
              <w:t>8</w:t>
            </w:r>
            <w:r w:rsidR="00F46719">
              <w:rPr>
                <w:noProof/>
                <w:webHidden/>
              </w:rPr>
              <w:fldChar w:fldCharType="end"/>
            </w:r>
          </w:hyperlink>
        </w:p>
        <w:p w14:paraId="7E663DB5" w14:textId="4D170E33" w:rsidR="00F46719" w:rsidRDefault="003C610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A41B2">
              <w:rPr>
                <w:noProof/>
                <w:webHidden/>
              </w:rPr>
              <w:t>10</w:t>
            </w:r>
            <w:r w:rsidR="00F46719">
              <w:rPr>
                <w:noProof/>
                <w:webHidden/>
              </w:rPr>
              <w:fldChar w:fldCharType="end"/>
            </w:r>
          </w:hyperlink>
        </w:p>
        <w:p w14:paraId="335A44C3" w14:textId="7C151BC8" w:rsidR="00F46719" w:rsidRDefault="003C610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A41B2">
              <w:rPr>
                <w:noProof/>
                <w:webHidden/>
              </w:rPr>
              <w:t>10</w:t>
            </w:r>
            <w:r w:rsidR="00F46719">
              <w:rPr>
                <w:noProof/>
                <w:webHidden/>
              </w:rPr>
              <w:fldChar w:fldCharType="end"/>
            </w:r>
          </w:hyperlink>
        </w:p>
        <w:p w14:paraId="290CB7FF" w14:textId="7F326AA7" w:rsidR="00F46719" w:rsidRDefault="003C610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67FB6C3B" w14:textId="46752A51" w:rsidR="00F46719" w:rsidRDefault="003C610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3373EEEC" w14:textId="5225F4F3" w:rsidR="00F46719" w:rsidRDefault="003C610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01A1A543" w14:textId="5EFC61AE" w:rsidR="00F46719" w:rsidRDefault="003C610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314DA06E" w14:textId="0600A814" w:rsidR="00F46719" w:rsidRDefault="003C610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0A10726F" w14:textId="510B2338" w:rsidR="00F46719" w:rsidRDefault="003C610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3402BC77" w14:textId="0F950942" w:rsidR="00F46719" w:rsidRDefault="003C610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4060B38" w14:textId="3AC02C0E" w:rsidR="00441922" w:rsidRDefault="00177FD7" w:rsidP="00441922">
      <w:pPr>
        <w:autoSpaceDE w:val="0"/>
        <w:autoSpaceDN w:val="0"/>
        <w:adjustRightInd w:val="0"/>
        <w:spacing w:after="0" w:line="240" w:lineRule="auto"/>
        <w:jc w:val="both"/>
        <w:rPr>
          <w:rFonts w:ascii="Corbel" w:hAnsi="Corbel" w:cs="Corbel"/>
          <w:u w:val="single"/>
          <w:lang w:eastAsia="es-MX"/>
        </w:rPr>
      </w:pPr>
      <w:r>
        <w:rPr>
          <w:rFonts w:ascii="Corbel" w:hAnsi="Corbel" w:cs="Corbel"/>
          <w:u w:val="single"/>
          <w:lang w:eastAsia="es-MX"/>
        </w:rPr>
        <w:t>SAPAF</w:t>
      </w:r>
      <w:r w:rsidR="00441922" w:rsidRPr="00D51204">
        <w:rPr>
          <w:rFonts w:ascii="Corbel" w:hAnsi="Corbel" w:cs="Corbel"/>
          <w:u w:val="single"/>
          <w:lang w:eastAsia="es-MX"/>
        </w:rPr>
        <w:t xml:space="preserve"> es un organismo público descentralizado</w:t>
      </w:r>
      <w:r w:rsidR="003B080E">
        <w:rPr>
          <w:rFonts w:ascii="Corbel" w:hAnsi="Corbel" w:cs="Corbel"/>
          <w:u w:val="single"/>
          <w:lang w:eastAsia="es-MX"/>
        </w:rPr>
        <w:t xml:space="preserve"> de la administración municipal, cuya meta general </w:t>
      </w:r>
      <w:r w:rsidR="00441922" w:rsidRPr="00D51204">
        <w:rPr>
          <w:rFonts w:ascii="Corbel" w:hAnsi="Corbel" w:cs="Corbel"/>
          <w:u w:val="single"/>
          <w:lang w:eastAsia="es-MX"/>
        </w:rPr>
        <w:t>es garantizar la sustentabilidad del servicio de agua potable, drenaje y</w:t>
      </w:r>
      <w:r w:rsidR="00441922">
        <w:rPr>
          <w:rFonts w:ascii="Corbel" w:hAnsi="Corbel" w:cs="Corbel"/>
          <w:u w:val="single"/>
          <w:lang w:eastAsia="es-MX"/>
        </w:rPr>
        <w:t xml:space="preserve"> </w:t>
      </w:r>
      <w:r w:rsidR="00441922" w:rsidRPr="00D51204">
        <w:rPr>
          <w:rFonts w:ascii="Corbel" w:hAnsi="Corbel" w:cs="Corbel"/>
          <w:u w:val="single"/>
          <w:lang w:eastAsia="es-MX"/>
        </w:rPr>
        <w:t>saneamiento; así como la detección, tratamiento y rehúso de aguas residuales del municipio. La ejecución de proyectos planteados de acuerdo a la gestión pública y a la modernización y mejora de eficiencia del servicio,  así como la re-implementación de sistemas de comunicación y organización interna de la institución,  administración con claridad así como el desarrollo y elaboración de la planeación estratégica de este organismo a futuro, contemplando la escasez del recurso vital por lo cual se contemplan posibles vías de extracción alternas al municipio para así cumplir con la misión de este organismo que es el suministro de agua a San Francisco del Rincón, Guanajuato. México.</w:t>
      </w:r>
    </w:p>
    <w:p w14:paraId="62C40243"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3A74A711"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r w:rsidRPr="00D51204">
        <w:rPr>
          <w:rFonts w:ascii="Corbel" w:hAnsi="Corbel" w:cs="Corbel"/>
          <w:u w:val="single"/>
          <w:lang w:eastAsia="es-MX"/>
        </w:rPr>
        <w:t>El 22 de Julio de 1983, la Junta Estatal se entregó a la presidencia municipal con: 6710 tomas domiciliarias</w:t>
      </w:r>
      <w:r>
        <w:rPr>
          <w:rFonts w:ascii="Corbel" w:hAnsi="Corbel" w:cs="Corbel"/>
          <w:u w:val="single"/>
          <w:lang w:eastAsia="es-MX"/>
        </w:rPr>
        <w:t xml:space="preserve"> </w:t>
      </w:r>
      <w:r w:rsidRPr="00D51204">
        <w:rPr>
          <w:rFonts w:ascii="Corbel" w:hAnsi="Corbel" w:cs="Corbel"/>
          <w:u w:val="single"/>
          <w:lang w:eastAsia="es-MX"/>
        </w:rPr>
        <w:t>y 6637 descargas de drenaje, 4 pozos profundos y 2 tanques de almacenamiento con capacidad de 500 mts</w:t>
      </w:r>
      <w:r>
        <w:rPr>
          <w:rFonts w:ascii="Corbel" w:hAnsi="Corbel" w:cs="Corbel"/>
          <w:u w:val="single"/>
          <w:lang w:eastAsia="es-MX"/>
        </w:rPr>
        <w:t xml:space="preserve">.  </w:t>
      </w:r>
      <w:r w:rsidRPr="00D51204">
        <w:rPr>
          <w:rFonts w:ascii="Corbel" w:hAnsi="Corbel" w:cs="Corbel"/>
          <w:u w:val="single"/>
          <w:lang w:eastAsia="es-MX"/>
        </w:rPr>
        <w:t>cúbicos cada uno.</w:t>
      </w:r>
    </w:p>
    <w:p w14:paraId="283A0D6C"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56219E55" w14:textId="77777777" w:rsidR="00441922" w:rsidRPr="00D51204" w:rsidRDefault="00441922" w:rsidP="00441922">
      <w:pPr>
        <w:tabs>
          <w:tab w:val="left" w:leader="underscore" w:pos="9639"/>
        </w:tabs>
        <w:spacing w:after="0" w:line="240" w:lineRule="auto"/>
        <w:jc w:val="both"/>
        <w:rPr>
          <w:rFonts w:cs="Calibri"/>
          <w:u w:val="single"/>
        </w:rPr>
      </w:pPr>
      <w:r w:rsidRPr="00D51204">
        <w:rPr>
          <w:rFonts w:ascii="Corbel" w:hAnsi="Corbel" w:cs="Corbel"/>
          <w:u w:val="single"/>
          <w:lang w:eastAsia="es-MX"/>
        </w:rPr>
        <w:t>Es aquí donde se le da el nombre de “Sistema de Agua Potable y Alcantarillado de San Francisco”</w:t>
      </w:r>
      <w:r>
        <w:rPr>
          <w:rFonts w:ascii="Corbel" w:hAnsi="Corbel" w:cs="Corbel"/>
          <w:u w:val="single"/>
          <w:lang w:eastAsia="es-MX"/>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1281A33" w14:textId="77777777" w:rsidR="00441922" w:rsidRPr="00E74967" w:rsidRDefault="00441922" w:rsidP="00CB41C4">
      <w:pPr>
        <w:tabs>
          <w:tab w:val="left" w:leader="underscore" w:pos="9639"/>
        </w:tabs>
        <w:spacing w:after="0" w:line="240" w:lineRule="auto"/>
        <w:jc w:val="both"/>
        <w:rPr>
          <w:rFonts w:cs="Calibri"/>
        </w:rPr>
      </w:pPr>
    </w:p>
    <w:p w14:paraId="18EC6D41" w14:textId="4B039F22" w:rsidR="00441922" w:rsidRDefault="00441922" w:rsidP="00441922">
      <w:pPr>
        <w:jc w:val="both"/>
        <w:rPr>
          <w:rFonts w:ascii="Arial" w:hAnsi="Arial" w:cs="Arial"/>
          <w:sz w:val="20"/>
          <w:szCs w:val="20"/>
          <w:u w:val="single"/>
        </w:rPr>
      </w:pPr>
      <w:r>
        <w:rPr>
          <w:rFonts w:ascii="Arial" w:hAnsi="Arial" w:cs="Arial"/>
          <w:sz w:val="20"/>
          <w:szCs w:val="20"/>
          <w:u w:val="single"/>
        </w:rPr>
        <w:t>En lo que</w:t>
      </w:r>
      <w:r w:rsidR="00253C0A">
        <w:rPr>
          <w:rFonts w:ascii="Arial" w:hAnsi="Arial" w:cs="Arial"/>
          <w:sz w:val="20"/>
          <w:szCs w:val="20"/>
          <w:u w:val="single"/>
        </w:rPr>
        <w:t xml:space="preserve"> va del Ejercicio Fiscal de 202</w:t>
      </w:r>
      <w:r w:rsidR="00086888">
        <w:rPr>
          <w:rFonts w:ascii="Arial" w:hAnsi="Arial" w:cs="Arial"/>
          <w:sz w:val="20"/>
          <w:szCs w:val="20"/>
          <w:u w:val="single"/>
        </w:rPr>
        <w:t>3</w:t>
      </w:r>
      <w:r>
        <w:rPr>
          <w:rFonts w:ascii="Arial" w:hAnsi="Arial" w:cs="Arial"/>
          <w:sz w:val="20"/>
          <w:szCs w:val="20"/>
          <w:u w:val="single"/>
        </w:rPr>
        <w:t xml:space="preserve"> las condiciones económicas y financieras del país no han perjudicado el entorno en donde se desenvuelve este Organismo operador, </w:t>
      </w:r>
      <w:r w:rsidR="00086888">
        <w:rPr>
          <w:rFonts w:ascii="Arial" w:hAnsi="Arial" w:cs="Arial"/>
          <w:sz w:val="20"/>
          <w:szCs w:val="20"/>
          <w:u w:val="single"/>
        </w:rPr>
        <w:t>en gran parte por los cambios en la propuesta tarifaria para 2023. Consideramos q</w:t>
      </w:r>
      <w:r>
        <w:rPr>
          <w:rFonts w:ascii="Arial" w:hAnsi="Arial" w:cs="Arial"/>
          <w:sz w:val="20"/>
          <w:szCs w:val="20"/>
          <w:u w:val="single"/>
        </w:rPr>
        <w:t xml:space="preserve">ue en términos generales el ejercicio </w:t>
      </w:r>
      <w:r w:rsidR="00086888">
        <w:rPr>
          <w:rFonts w:ascii="Arial" w:hAnsi="Arial" w:cs="Arial"/>
          <w:sz w:val="20"/>
          <w:szCs w:val="20"/>
          <w:u w:val="single"/>
        </w:rPr>
        <w:t>2</w:t>
      </w:r>
      <w:r>
        <w:rPr>
          <w:rFonts w:ascii="Arial" w:hAnsi="Arial" w:cs="Arial"/>
          <w:sz w:val="20"/>
          <w:szCs w:val="20"/>
          <w:u w:val="single"/>
        </w:rPr>
        <w:t>02</w:t>
      </w:r>
      <w:r w:rsidR="003B080E">
        <w:rPr>
          <w:rFonts w:ascii="Arial" w:hAnsi="Arial" w:cs="Arial"/>
          <w:sz w:val="20"/>
          <w:szCs w:val="20"/>
          <w:u w:val="single"/>
        </w:rPr>
        <w:t>2</w:t>
      </w:r>
      <w:r>
        <w:rPr>
          <w:rFonts w:ascii="Arial" w:hAnsi="Arial" w:cs="Arial"/>
          <w:sz w:val="20"/>
          <w:szCs w:val="20"/>
          <w:u w:val="single"/>
        </w:rPr>
        <w:t xml:space="preserve"> </w:t>
      </w:r>
      <w:r w:rsidR="008216AF">
        <w:rPr>
          <w:rFonts w:ascii="Arial" w:hAnsi="Arial" w:cs="Arial"/>
          <w:sz w:val="20"/>
          <w:szCs w:val="20"/>
          <w:u w:val="single"/>
        </w:rPr>
        <w:t>fue</w:t>
      </w:r>
      <w:r w:rsidR="00086888">
        <w:rPr>
          <w:rFonts w:ascii="Arial" w:hAnsi="Arial" w:cs="Arial"/>
          <w:sz w:val="20"/>
          <w:szCs w:val="20"/>
          <w:u w:val="single"/>
        </w:rPr>
        <w:t xml:space="preserve"> bueno en cuanto a recaudación</w:t>
      </w:r>
      <w:r>
        <w:rPr>
          <w:rFonts w:ascii="Arial" w:hAnsi="Arial" w:cs="Arial"/>
          <w:sz w:val="20"/>
          <w:szCs w:val="20"/>
          <w:u w:val="single"/>
        </w:rPr>
        <w:t xml:space="preserve"> y ejecución de obra pública</w:t>
      </w:r>
      <w:r w:rsidR="001B59B9">
        <w:rPr>
          <w:rFonts w:ascii="Arial" w:hAnsi="Arial" w:cs="Arial"/>
          <w:sz w:val="20"/>
          <w:szCs w:val="20"/>
          <w:u w:val="single"/>
        </w:rPr>
        <w:t xml:space="preserve">, sin </w:t>
      </w:r>
      <w:r w:rsidR="00086888">
        <w:rPr>
          <w:rFonts w:ascii="Arial" w:hAnsi="Arial" w:cs="Arial"/>
          <w:sz w:val="20"/>
          <w:szCs w:val="20"/>
          <w:u w:val="single"/>
        </w:rPr>
        <w:t>embargo,</w:t>
      </w:r>
      <w:r w:rsidR="001B59B9">
        <w:rPr>
          <w:rFonts w:ascii="Arial" w:hAnsi="Arial" w:cs="Arial"/>
          <w:sz w:val="20"/>
          <w:szCs w:val="20"/>
          <w:u w:val="single"/>
        </w:rPr>
        <w:t xml:space="preserve"> el costo de materiales, combustibles, servicios y más se han visto incrementados en respuesta a la inflación general anual del país la cual cerró para 2022 en 7.82</w:t>
      </w:r>
      <w:r w:rsidR="004B1C6D">
        <w:rPr>
          <w:rFonts w:ascii="Arial" w:hAnsi="Arial" w:cs="Arial"/>
          <w:sz w:val="20"/>
          <w:szCs w:val="20"/>
          <w:u w:val="single"/>
        </w:rPr>
        <w:t>%</w:t>
      </w:r>
      <w:bookmarkStart w:id="2" w:name="_GoBack"/>
      <w:bookmarkEnd w:id="2"/>
      <w:r w:rsidR="00086888">
        <w:rPr>
          <w:rFonts w:ascii="Arial" w:hAnsi="Arial" w:cs="Arial"/>
          <w:sz w:val="20"/>
          <w:szCs w:val="20"/>
          <w:u w:val="single"/>
        </w:rPr>
        <w:t xml:space="preserve"> y aumentando en 2023 a 7.91</w:t>
      </w:r>
      <w:r w:rsidR="001B59B9">
        <w:rPr>
          <w:rFonts w:ascii="Arial" w:hAnsi="Arial" w:cs="Arial"/>
          <w:sz w:val="20"/>
          <w:szCs w:val="20"/>
          <w:u w:val="single"/>
        </w:rPr>
        <w:t>%</w:t>
      </w:r>
      <w:r>
        <w:rPr>
          <w:rFonts w:ascii="Arial" w:hAnsi="Arial" w:cs="Arial"/>
          <w:sz w:val="20"/>
          <w:szCs w:val="20"/>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EE5D06" w14:textId="77777777" w:rsidR="00441922" w:rsidRPr="00E74967" w:rsidRDefault="00441922" w:rsidP="00441922">
      <w:pPr>
        <w:tabs>
          <w:tab w:val="left" w:leader="underscore" w:pos="9639"/>
        </w:tabs>
        <w:spacing w:after="0" w:line="240" w:lineRule="auto"/>
        <w:jc w:val="both"/>
        <w:rPr>
          <w:rFonts w:cs="Calibri"/>
        </w:rPr>
      </w:pPr>
    </w:p>
    <w:p w14:paraId="40738619"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El 22 de Julio de 1983 se creó para la prestación de los servicios públicos de agua potable, alcantarillado, saneamiento y tratamiento de aguas residuales en el Municipio de San Francisco del Rincón, Guanajuato un Organismo Público Descentralizado de la Administración Municipal con personalidad jurídica y patrimonio propios, el cual se denomina “Sistema de agua Potable y Alcantarillado de San Francisco” y/o S.A.P.A.F.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3B4B110" w14:textId="13FFC44E" w:rsidR="00441922" w:rsidRDefault="00441922" w:rsidP="00441922">
      <w:pPr>
        <w:jc w:val="both"/>
        <w:rPr>
          <w:rFonts w:ascii="Arial" w:hAnsi="Arial" w:cs="Arial"/>
          <w:sz w:val="20"/>
          <w:szCs w:val="20"/>
          <w:u w:val="single"/>
        </w:rPr>
      </w:pPr>
      <w:r>
        <w:rPr>
          <w:rFonts w:ascii="Arial" w:hAnsi="Arial" w:cs="Arial"/>
          <w:sz w:val="20"/>
          <w:szCs w:val="20"/>
          <w:u w:val="single"/>
        </w:rPr>
        <w:t xml:space="preserve">Inicialmente este Organismo operador solo contaba con dos Direcciones la General y Técnica a principios del año de 2009 se crearon adicionalmente las Direcciones de Administración, Comercial y Finanzas, esto con la finalidad de </w:t>
      </w:r>
      <w:r w:rsidR="004D6976">
        <w:rPr>
          <w:rFonts w:ascii="Arial" w:hAnsi="Arial" w:cs="Arial"/>
          <w:sz w:val="20"/>
          <w:szCs w:val="20"/>
          <w:u w:val="single"/>
        </w:rPr>
        <w:t>delimitar</w:t>
      </w:r>
      <w:r>
        <w:rPr>
          <w:rFonts w:ascii="Arial" w:hAnsi="Arial" w:cs="Arial"/>
          <w:sz w:val="20"/>
          <w:szCs w:val="20"/>
          <w:u w:val="single"/>
        </w:rPr>
        <w:t xml:space="preserve"> y estructura</w:t>
      </w:r>
      <w:r w:rsidR="004D6976">
        <w:rPr>
          <w:rFonts w:ascii="Arial" w:hAnsi="Arial" w:cs="Arial"/>
          <w:sz w:val="20"/>
          <w:szCs w:val="20"/>
          <w:u w:val="single"/>
        </w:rPr>
        <w:t>r</w:t>
      </w:r>
      <w:r>
        <w:rPr>
          <w:rFonts w:ascii="Arial" w:hAnsi="Arial" w:cs="Arial"/>
          <w:sz w:val="20"/>
          <w:szCs w:val="20"/>
          <w:u w:val="single"/>
        </w:rPr>
        <w:t xml:space="preserve"> las funciones de cada una de las áreas. Para el ejercicio fiscal de 2013 se realizó un pequeño cambio en la estructura del Organismo Operador, debido a que las Direcciones de Administración y la Dirección de Finanzas se fusionaron en una sola y desde esta fecha en el Organismo se vienen manejando un total de cuatro Direcciones y que son; General, Técnica y Operativa, Administración y Finanzas y Comercial. A finales del ejercicio fiscal de 2014 el organigrama está conformado de la siguiente manera: Dirección General, Gerencia Técnica y Operativa, Gerencia de Administración y Finanzas y la Gerencia Comercial. </w:t>
      </w:r>
    </w:p>
    <w:p w14:paraId="3843474F" w14:textId="77777777" w:rsidR="007D1E76" w:rsidRDefault="007D1E76" w:rsidP="00CB41C4">
      <w:pPr>
        <w:tabs>
          <w:tab w:val="left" w:leader="underscore" w:pos="9639"/>
        </w:tabs>
        <w:spacing w:after="0" w:line="240" w:lineRule="auto"/>
        <w:jc w:val="both"/>
        <w:rPr>
          <w:rFonts w:cs="Calibri"/>
        </w:rPr>
      </w:pPr>
    </w:p>
    <w:p w14:paraId="7F793FDD" w14:textId="77777777" w:rsidR="00441922" w:rsidRPr="00E74967" w:rsidRDefault="00441922"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3675F63" w14:textId="77777777" w:rsidR="00441922" w:rsidRDefault="00441922" w:rsidP="00441922">
      <w:pPr>
        <w:jc w:val="both"/>
        <w:rPr>
          <w:rFonts w:ascii="Arial" w:hAnsi="Arial" w:cs="Arial"/>
          <w:sz w:val="20"/>
          <w:szCs w:val="20"/>
          <w:u w:val="single"/>
        </w:rPr>
      </w:pPr>
      <w:r>
        <w:rPr>
          <w:rFonts w:ascii="Arial" w:hAnsi="Arial" w:cs="Arial"/>
          <w:sz w:val="20"/>
          <w:szCs w:val="20"/>
          <w:u w:val="single"/>
        </w:rPr>
        <w:t>Prestación de servicios públicos de Agua Potable, Alcantarillado, Saneamiento y Tratamiento de Aguas Residuales en el Municipio de San Francisco del Rincón, Gto.</w:t>
      </w:r>
    </w:p>
    <w:p w14:paraId="5E1464A1" w14:textId="77777777" w:rsidR="00441922" w:rsidRDefault="00441922" w:rsidP="00441922">
      <w:pPr>
        <w:jc w:val="both"/>
        <w:rPr>
          <w:rFonts w:ascii="Arial" w:hAnsi="Arial" w:cs="Arial"/>
          <w:sz w:val="20"/>
          <w:szCs w:val="20"/>
          <w:u w:val="single"/>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DF33B6" w14:textId="77777777" w:rsidR="00441922" w:rsidRDefault="00441922" w:rsidP="00441922">
      <w:pPr>
        <w:jc w:val="both"/>
        <w:rPr>
          <w:rFonts w:ascii="Arial" w:hAnsi="Arial" w:cs="Arial"/>
          <w:sz w:val="20"/>
          <w:szCs w:val="20"/>
          <w:u w:val="single"/>
        </w:rPr>
      </w:pPr>
      <w:r>
        <w:rPr>
          <w:rFonts w:ascii="Arial" w:hAnsi="Arial" w:cs="Arial"/>
          <w:sz w:val="20"/>
          <w:szCs w:val="20"/>
          <w:u w:val="single"/>
        </w:rPr>
        <w:t>Captación y Suministro de Agua Potable, prestación del servicio de Alcantarillado y Saneamiento.</w:t>
      </w:r>
    </w:p>
    <w:p w14:paraId="15F90EEC" w14:textId="77777777" w:rsidR="00CB41C4" w:rsidRDefault="00CB41C4" w:rsidP="00CB41C4">
      <w:pPr>
        <w:tabs>
          <w:tab w:val="left" w:leader="underscore" w:pos="9639"/>
        </w:tabs>
        <w:spacing w:after="0" w:line="240" w:lineRule="auto"/>
        <w:jc w:val="both"/>
        <w:rPr>
          <w:rFonts w:cs="Calibri"/>
        </w:rPr>
      </w:pPr>
    </w:p>
    <w:p w14:paraId="4F654D5A" w14:textId="77777777" w:rsidR="00441922" w:rsidRPr="00E74967" w:rsidRDefault="00441922" w:rsidP="00CB41C4">
      <w:pPr>
        <w:tabs>
          <w:tab w:val="left" w:leader="underscore" w:pos="9639"/>
        </w:tabs>
        <w:spacing w:after="0" w:line="240" w:lineRule="auto"/>
        <w:jc w:val="both"/>
        <w:rPr>
          <w:rFonts w:cs="Calibri"/>
        </w:rPr>
      </w:pPr>
    </w:p>
    <w:p w14:paraId="2D21CE61" w14:textId="0D5E0D9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41922">
        <w:rPr>
          <w:rFonts w:cs="Calibri"/>
        </w:rPr>
        <w:t>19</w:t>
      </w:r>
      <w:r w:rsidRPr="00E74967">
        <w:rPr>
          <w:rFonts w:cs="Calibri"/>
        </w:rPr>
        <w:t>).</w:t>
      </w:r>
    </w:p>
    <w:p w14:paraId="48846C92" w14:textId="2B93B780" w:rsidR="00441922" w:rsidRDefault="003914F2" w:rsidP="00441922">
      <w:pPr>
        <w:spacing w:after="0" w:line="240" w:lineRule="auto"/>
        <w:jc w:val="both"/>
        <w:rPr>
          <w:rFonts w:ascii="Times New Roman" w:hAnsi="Times New Roman"/>
          <w:sz w:val="24"/>
          <w:szCs w:val="24"/>
          <w:u w:val="single"/>
        </w:rPr>
      </w:pPr>
      <w:r>
        <w:rPr>
          <w:rFonts w:ascii="Times New Roman" w:hAnsi="Times New Roman"/>
          <w:sz w:val="24"/>
          <w:szCs w:val="24"/>
          <w:u w:val="single"/>
        </w:rPr>
        <w:t>E</w:t>
      </w:r>
      <w:r w:rsidR="00441922">
        <w:rPr>
          <w:rFonts w:ascii="Times New Roman" w:hAnsi="Times New Roman"/>
          <w:sz w:val="24"/>
          <w:szCs w:val="24"/>
          <w:u w:val="single"/>
        </w:rPr>
        <w:t xml:space="preserve">nero a </w:t>
      </w:r>
      <w:r w:rsidR="00761FA4">
        <w:rPr>
          <w:rFonts w:ascii="Times New Roman" w:hAnsi="Times New Roman"/>
          <w:sz w:val="24"/>
          <w:szCs w:val="24"/>
          <w:u w:val="single"/>
        </w:rPr>
        <w:t>diciembre</w:t>
      </w:r>
      <w:r w:rsidR="00441922">
        <w:rPr>
          <w:rFonts w:ascii="Times New Roman" w:hAnsi="Times New Roman"/>
          <w:sz w:val="24"/>
          <w:szCs w:val="24"/>
          <w:u w:val="single"/>
        </w:rPr>
        <w:t xml:space="preserve"> de 202</w:t>
      </w:r>
      <w:r w:rsidR="00086888">
        <w:rPr>
          <w:rFonts w:ascii="Times New Roman" w:hAnsi="Times New Roman"/>
          <w:sz w:val="24"/>
          <w:szCs w:val="24"/>
          <w:u w:val="single"/>
        </w:rPr>
        <w:t>3</w:t>
      </w:r>
      <w:r w:rsidR="00441922">
        <w:rPr>
          <w:rFonts w:ascii="Times New Roman" w:hAnsi="Times New Roman"/>
          <w:sz w:val="24"/>
          <w:szCs w:val="24"/>
          <w:u w:val="single"/>
        </w:rPr>
        <w:t>.</w:t>
      </w:r>
    </w:p>
    <w:p w14:paraId="7C555FDE" w14:textId="77777777" w:rsidR="00441922" w:rsidRDefault="00441922" w:rsidP="00441922">
      <w:pPr>
        <w:spacing w:after="0" w:line="240" w:lineRule="auto"/>
        <w:jc w:val="both"/>
        <w:rPr>
          <w:rFonts w:ascii="Times New Roman" w:hAnsi="Times New Roman"/>
          <w:sz w:val="24"/>
          <w:szCs w:val="24"/>
          <w:u w:val="single"/>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67DC7B" w14:textId="77777777" w:rsidR="00441922" w:rsidRDefault="00441922" w:rsidP="00441922">
      <w:pPr>
        <w:jc w:val="both"/>
        <w:rPr>
          <w:rFonts w:ascii="Arial" w:hAnsi="Arial" w:cs="Arial"/>
          <w:sz w:val="20"/>
          <w:szCs w:val="20"/>
          <w:u w:val="single"/>
        </w:rPr>
      </w:pPr>
      <w:r>
        <w:rPr>
          <w:rFonts w:ascii="Arial" w:hAnsi="Arial" w:cs="Arial"/>
          <w:sz w:val="20"/>
          <w:szCs w:val="20"/>
          <w:u w:val="single"/>
        </w:rPr>
        <w:t>Art.45 Ley Orgánica de la Administración Pública Federal, Art.14 al 27 Ley Federal de las Entidades Paraestatales (Organismo Público Descentralizado, con Patrimonio propio, Personal Moral creada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9251C62" w14:textId="77777777" w:rsidR="00441922" w:rsidRDefault="00441922" w:rsidP="00441922">
      <w:pPr>
        <w:jc w:val="both"/>
        <w:rPr>
          <w:rFonts w:ascii="Arial" w:hAnsi="Arial" w:cs="Arial"/>
          <w:sz w:val="20"/>
          <w:szCs w:val="20"/>
          <w:u w:val="single"/>
        </w:rPr>
      </w:pPr>
      <w:r>
        <w:rPr>
          <w:rFonts w:ascii="Arial" w:hAnsi="Arial" w:cs="Arial"/>
          <w:sz w:val="20"/>
          <w:szCs w:val="20"/>
          <w:u w:val="single"/>
        </w:rPr>
        <w:t>* Retención del impuesto sobre la renta por sueldos y salarios, Retención del impuesto sobre la renta por servicios profesionales, * Retención del impuesto sobre la renta por sueldos asimilados a salarios, Retención del impuesto sobre la renta por a cuenta de terceros o por arrendamiento, Retención del impuesto al valor agregado.</w:t>
      </w:r>
    </w:p>
    <w:p w14:paraId="6268EF76" w14:textId="77777777" w:rsidR="007D1E76" w:rsidRDefault="007D1E76" w:rsidP="00CB41C4">
      <w:pPr>
        <w:tabs>
          <w:tab w:val="left" w:leader="underscore" w:pos="9639"/>
        </w:tabs>
        <w:spacing w:after="0" w:line="240" w:lineRule="auto"/>
        <w:jc w:val="both"/>
        <w:rPr>
          <w:rFonts w:cs="Calibri"/>
        </w:rPr>
      </w:pPr>
    </w:p>
    <w:p w14:paraId="6993F832" w14:textId="77777777" w:rsidR="00441922" w:rsidRDefault="00441922" w:rsidP="00CB41C4">
      <w:pPr>
        <w:tabs>
          <w:tab w:val="left" w:leader="underscore" w:pos="9639"/>
        </w:tabs>
        <w:spacing w:after="0" w:line="240" w:lineRule="auto"/>
        <w:jc w:val="both"/>
        <w:rPr>
          <w:rFonts w:cs="Calibri"/>
        </w:rPr>
      </w:pPr>
    </w:p>
    <w:p w14:paraId="5CB5509A" w14:textId="77777777" w:rsidR="00441922" w:rsidRDefault="00441922" w:rsidP="00CB41C4">
      <w:pPr>
        <w:tabs>
          <w:tab w:val="left" w:leader="underscore" w:pos="9639"/>
        </w:tabs>
        <w:spacing w:after="0" w:line="240" w:lineRule="auto"/>
        <w:jc w:val="both"/>
        <w:rPr>
          <w:rFonts w:cs="Calibri"/>
        </w:rPr>
      </w:pPr>
    </w:p>
    <w:p w14:paraId="32E21D8E" w14:textId="77777777" w:rsidR="00441922" w:rsidRDefault="00441922" w:rsidP="00CB41C4">
      <w:pPr>
        <w:tabs>
          <w:tab w:val="left" w:leader="underscore" w:pos="9639"/>
        </w:tabs>
        <w:spacing w:after="0" w:line="240" w:lineRule="auto"/>
        <w:jc w:val="both"/>
        <w:rPr>
          <w:rFonts w:cs="Calibri"/>
        </w:rPr>
      </w:pPr>
    </w:p>
    <w:p w14:paraId="2794A2DC" w14:textId="77777777" w:rsidR="00441922" w:rsidRDefault="00441922" w:rsidP="00CB41C4">
      <w:pPr>
        <w:tabs>
          <w:tab w:val="left" w:leader="underscore" w:pos="9639"/>
        </w:tabs>
        <w:spacing w:after="0" w:line="240" w:lineRule="auto"/>
        <w:jc w:val="both"/>
        <w:rPr>
          <w:rFonts w:cs="Calibri"/>
        </w:rPr>
      </w:pPr>
    </w:p>
    <w:p w14:paraId="72917BF0" w14:textId="77777777" w:rsidR="00441922" w:rsidRDefault="00441922" w:rsidP="00CB41C4">
      <w:pPr>
        <w:tabs>
          <w:tab w:val="left" w:leader="underscore" w:pos="9639"/>
        </w:tabs>
        <w:spacing w:after="0" w:line="240" w:lineRule="auto"/>
        <w:jc w:val="both"/>
        <w:rPr>
          <w:rFonts w:cs="Calibri"/>
        </w:rPr>
      </w:pPr>
    </w:p>
    <w:p w14:paraId="524C8EF0" w14:textId="77777777" w:rsidR="00441922" w:rsidRPr="00E74967" w:rsidRDefault="004419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4C7717D2" w:rsidR="00CB41C4" w:rsidRDefault="00E62F44" w:rsidP="00CB41C4">
      <w:pPr>
        <w:tabs>
          <w:tab w:val="left" w:leader="underscore" w:pos="9639"/>
        </w:tabs>
        <w:spacing w:after="0" w:line="240" w:lineRule="auto"/>
        <w:jc w:val="both"/>
        <w:rPr>
          <w:rFonts w:cs="Calibri"/>
        </w:rPr>
      </w:pPr>
      <w:r>
        <w:rPr>
          <w:noProof/>
          <w:lang w:eastAsia="es-MX"/>
        </w:rPr>
        <w:drawing>
          <wp:inline distT="0" distB="0" distL="0" distR="0" wp14:anchorId="0FD99EAC" wp14:editId="52F6E9FB">
            <wp:extent cx="60769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20" r="1219" b="2670"/>
                    <a:stretch/>
                  </pic:blipFill>
                  <pic:spPr bwMode="auto">
                    <a:xfrm>
                      <a:off x="0" y="0"/>
                      <a:ext cx="6076950" cy="3314700"/>
                    </a:xfrm>
                    <a:prstGeom prst="rect">
                      <a:avLst/>
                    </a:prstGeom>
                    <a:ln>
                      <a:noFill/>
                    </a:ln>
                    <a:extLst>
                      <a:ext uri="{53640926-AAD7-44D8-BBD7-CCE9431645EC}">
                        <a14:shadowObscured xmlns:a14="http://schemas.microsoft.com/office/drawing/2010/main"/>
                      </a:ext>
                    </a:extLst>
                  </pic:spPr>
                </pic:pic>
              </a:graphicData>
            </a:graphic>
          </wp:inline>
        </w:drawing>
      </w:r>
    </w:p>
    <w:p w14:paraId="5F4C0B6A" w14:textId="56D1C535"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49FC5C09" wp14:editId="0D6AC10D">
            <wp:extent cx="6096000" cy="33034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20" b="2121"/>
                    <a:stretch/>
                  </pic:blipFill>
                  <pic:spPr bwMode="auto">
                    <a:xfrm>
                      <a:off x="0" y="0"/>
                      <a:ext cx="6118313" cy="3315560"/>
                    </a:xfrm>
                    <a:prstGeom prst="rect">
                      <a:avLst/>
                    </a:prstGeom>
                    <a:ln>
                      <a:noFill/>
                    </a:ln>
                    <a:extLst>
                      <a:ext uri="{53640926-AAD7-44D8-BBD7-CCE9431645EC}">
                        <a14:shadowObscured xmlns:a14="http://schemas.microsoft.com/office/drawing/2010/main"/>
                      </a:ext>
                    </a:extLst>
                  </pic:spPr>
                </pic:pic>
              </a:graphicData>
            </a:graphic>
          </wp:inline>
        </w:drawing>
      </w:r>
    </w:p>
    <w:p w14:paraId="488762B0" w14:textId="6EB3A071" w:rsidR="00BC0D91" w:rsidRDefault="00BC0D91"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28FC8DEE" wp14:editId="58CA74CF">
            <wp:extent cx="6143625" cy="3295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45" r="134" b="3491"/>
                    <a:stretch/>
                  </pic:blipFill>
                  <pic:spPr bwMode="auto">
                    <a:xfrm>
                      <a:off x="0" y="0"/>
                      <a:ext cx="6143625" cy="3295650"/>
                    </a:xfrm>
                    <a:prstGeom prst="rect">
                      <a:avLst/>
                    </a:prstGeom>
                    <a:ln>
                      <a:noFill/>
                    </a:ln>
                    <a:extLst>
                      <a:ext uri="{53640926-AAD7-44D8-BBD7-CCE9431645EC}">
                        <a14:shadowObscured xmlns:a14="http://schemas.microsoft.com/office/drawing/2010/main"/>
                      </a:ext>
                    </a:extLst>
                  </pic:spPr>
                </pic:pic>
              </a:graphicData>
            </a:graphic>
          </wp:inline>
        </w:drawing>
      </w:r>
    </w:p>
    <w:p w14:paraId="7C1F0E0D" w14:textId="1F1AD98A"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641833D6" wp14:editId="03E337CF">
            <wp:extent cx="613410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94" r="289" b="3492"/>
                    <a:stretch/>
                  </pic:blipFill>
                  <pic:spPr bwMode="auto">
                    <a:xfrm>
                      <a:off x="0" y="0"/>
                      <a:ext cx="6134100" cy="32766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0211DDD6"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F51341"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1E6423D" w14:textId="00F6DFF2" w:rsidR="00441922" w:rsidRPr="00720315" w:rsidRDefault="00441922" w:rsidP="00441922">
      <w:pPr>
        <w:tabs>
          <w:tab w:val="left" w:leader="underscore" w:pos="9639"/>
        </w:tabs>
        <w:spacing w:after="0" w:line="240" w:lineRule="auto"/>
        <w:jc w:val="both"/>
        <w:rPr>
          <w:rFonts w:cs="Calibri"/>
          <w:u w:val="single"/>
        </w:rPr>
      </w:pPr>
      <w:r w:rsidRPr="00720315">
        <w:rPr>
          <w:rFonts w:asciiTheme="minorHAnsi" w:hAnsiTheme="minorHAnsi" w:cstheme="minorHAnsi"/>
          <w:sz w:val="24"/>
          <w:szCs w:val="24"/>
          <w:u w:val="single"/>
        </w:rPr>
        <w:t xml:space="preserve">Ya que </w:t>
      </w:r>
      <w:r w:rsidR="001F30A0">
        <w:rPr>
          <w:rFonts w:asciiTheme="minorHAnsi" w:hAnsiTheme="minorHAnsi" w:cstheme="minorHAnsi"/>
          <w:sz w:val="24"/>
          <w:szCs w:val="24"/>
          <w:u w:val="single"/>
        </w:rPr>
        <w:t xml:space="preserve">a este trimestre </w:t>
      </w:r>
      <w:r w:rsidRPr="00720315">
        <w:rPr>
          <w:rFonts w:asciiTheme="minorHAnsi" w:hAnsiTheme="minorHAnsi" w:cstheme="minorHAnsi"/>
          <w:sz w:val="24"/>
          <w:szCs w:val="24"/>
          <w:u w:val="single"/>
        </w:rPr>
        <w:t xml:space="preserve">no se cuenta con </w:t>
      </w:r>
      <w:r w:rsidRPr="00720315">
        <w:rPr>
          <w:rFonts w:cs="Calibri"/>
          <w:u w:val="single"/>
        </w:rPr>
        <w:t xml:space="preserve">Fideicomisos, mandatos y análogos de los cuales </w:t>
      </w:r>
      <w:r>
        <w:rPr>
          <w:rFonts w:cs="Calibri"/>
          <w:u w:val="single"/>
        </w:rPr>
        <w:t xml:space="preserve">seamos </w:t>
      </w:r>
      <w:r w:rsidRPr="00720315">
        <w:rPr>
          <w:rFonts w:cs="Calibri"/>
          <w:u w:val="single"/>
        </w:rPr>
        <w:t>fideicomitente o fideicomisario.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56E252" w14:textId="34A18F17" w:rsidR="00441922" w:rsidRDefault="00441922" w:rsidP="00441922">
      <w:pPr>
        <w:jc w:val="both"/>
        <w:rPr>
          <w:rFonts w:ascii="Arial" w:hAnsi="Arial" w:cs="Arial"/>
          <w:sz w:val="20"/>
          <w:szCs w:val="20"/>
          <w:u w:val="single"/>
        </w:rPr>
      </w:pPr>
      <w:r>
        <w:rPr>
          <w:rFonts w:ascii="Arial" w:hAnsi="Arial" w:cs="Arial"/>
          <w:sz w:val="20"/>
          <w:szCs w:val="20"/>
          <w:u w:val="single"/>
        </w:rPr>
        <w:t xml:space="preserve">Actualmente se han observado e implementado las disposiciones emitidas por la Conac y </w:t>
      </w:r>
      <w:r w:rsidR="001F30A0">
        <w:rPr>
          <w:rFonts w:ascii="Arial" w:hAnsi="Arial" w:cs="Arial"/>
          <w:sz w:val="20"/>
          <w:szCs w:val="20"/>
          <w:u w:val="single"/>
        </w:rPr>
        <w:t xml:space="preserve">para su </w:t>
      </w:r>
      <w:r>
        <w:rPr>
          <w:rFonts w:ascii="Arial" w:hAnsi="Arial" w:cs="Arial"/>
          <w:sz w:val="20"/>
          <w:szCs w:val="20"/>
          <w:u w:val="single"/>
        </w:rPr>
        <w:t>aplica</w:t>
      </w:r>
      <w:r w:rsidR="001F30A0">
        <w:rPr>
          <w:rFonts w:ascii="Arial" w:hAnsi="Arial" w:cs="Arial"/>
          <w:sz w:val="20"/>
          <w:szCs w:val="20"/>
          <w:u w:val="single"/>
        </w:rPr>
        <w:t>ción</w:t>
      </w:r>
      <w:r>
        <w:rPr>
          <w:rFonts w:ascii="Arial" w:hAnsi="Arial" w:cs="Arial"/>
          <w:sz w:val="20"/>
          <w:szCs w:val="20"/>
          <w:u w:val="single"/>
        </w:rPr>
        <w:t xml:space="preserve"> en este Organismo operador.</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6613FD" w14:textId="77777777" w:rsidR="00441922" w:rsidRPr="00E74967" w:rsidRDefault="00441922" w:rsidP="00CB41C4">
      <w:pPr>
        <w:tabs>
          <w:tab w:val="left" w:leader="underscore" w:pos="9639"/>
        </w:tabs>
        <w:spacing w:after="0" w:line="240" w:lineRule="auto"/>
        <w:jc w:val="both"/>
        <w:rPr>
          <w:rFonts w:cs="Calibri"/>
        </w:rPr>
      </w:pPr>
    </w:p>
    <w:p w14:paraId="55ED4B14"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ACDA915" w14:textId="77777777" w:rsidR="00441922" w:rsidRDefault="00441922" w:rsidP="00441922">
      <w:pPr>
        <w:jc w:val="both"/>
        <w:rPr>
          <w:rFonts w:ascii="Arial" w:hAnsi="Arial" w:cs="Arial"/>
          <w:sz w:val="20"/>
          <w:szCs w:val="20"/>
          <w:u w:val="single"/>
        </w:rPr>
      </w:pPr>
      <w:r>
        <w:rPr>
          <w:rFonts w:ascii="Arial" w:hAnsi="Arial" w:cs="Arial"/>
          <w:sz w:val="20"/>
          <w:szCs w:val="20"/>
          <w:u w:val="single"/>
        </w:rPr>
        <w:t>Se manejan los siguientes postulados básicos; *Sustancia económica, *Entes Públicos, *Existencia permanente, *Revelación suficiente, *Importancia relativa, *Registro e Integración presupuestaria, *Consolidación de la Información financiera, *Devengo contable, *Valuación, *Dualidad económica,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3F89A0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3397447" w14:textId="77777777" w:rsidR="00441922" w:rsidRPr="00720315" w:rsidRDefault="00441922" w:rsidP="00441922">
      <w:pPr>
        <w:tabs>
          <w:tab w:val="left" w:leader="underscore" w:pos="9639"/>
        </w:tabs>
        <w:spacing w:after="0" w:line="240" w:lineRule="auto"/>
        <w:jc w:val="both"/>
        <w:rPr>
          <w:rFonts w:cs="Calibri"/>
          <w:u w:val="single"/>
        </w:rPr>
      </w:pPr>
      <w:r w:rsidRPr="00720315">
        <w:rPr>
          <w:rFonts w:cs="Calibri"/>
          <w:u w:val="single"/>
        </w:rPr>
        <w:t>Actualmente no aplicamos normatividad de manera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B12EC3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8B44DF"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EA52DE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796FBB"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B273D75" w14:textId="11DE769F"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3C014B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lastRenderedPageBreak/>
        <w:t xml:space="preserve">N/A </w:t>
      </w:r>
      <w:r w:rsidRPr="00720315">
        <w:rPr>
          <w:rFonts w:asciiTheme="minorHAnsi" w:hAnsiTheme="minorHAnsi" w:cstheme="minorHAnsi"/>
          <w:sz w:val="24"/>
          <w:szCs w:val="24"/>
          <w:u w:val="single"/>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AE7FB7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990F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3B9F6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22AC6E6D" w:rsidR="007D1E76" w:rsidRDefault="00441922" w:rsidP="00CB41C4">
      <w:pPr>
        <w:tabs>
          <w:tab w:val="left" w:leader="underscore" w:pos="9639"/>
        </w:tabs>
        <w:spacing w:after="0" w:line="240" w:lineRule="auto"/>
        <w:jc w:val="both"/>
        <w:rPr>
          <w:rFonts w:ascii="Arial" w:hAnsi="Arial" w:cs="Arial"/>
          <w:sz w:val="20"/>
          <w:szCs w:val="20"/>
          <w:u w:val="single"/>
        </w:rPr>
      </w:pPr>
      <w:r>
        <w:rPr>
          <w:rFonts w:ascii="Arial" w:hAnsi="Arial" w:cs="Arial"/>
          <w:sz w:val="20"/>
          <w:szCs w:val="20"/>
          <w:u w:val="single"/>
        </w:rPr>
        <w:t>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y no manejamos costo de lo vendido por que nosotros prestamos servicios al usuario y no realizamos transformación de materias primas.</w:t>
      </w:r>
    </w:p>
    <w:p w14:paraId="4C151374" w14:textId="77777777" w:rsidR="00441922" w:rsidRPr="00E74967" w:rsidRDefault="004419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9B461F"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EDE069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6AF242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80A8B44"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78D71C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B050AAB" w14:textId="118A1924" w:rsidR="00441922" w:rsidRPr="00720315" w:rsidRDefault="003914F2" w:rsidP="00441922">
      <w:pPr>
        <w:jc w:val="both"/>
        <w:rPr>
          <w:rFonts w:asciiTheme="minorHAnsi" w:hAnsiTheme="minorHAnsi" w:cstheme="minorHAnsi"/>
          <w:sz w:val="24"/>
          <w:szCs w:val="24"/>
          <w:u w:val="single"/>
        </w:rPr>
      </w:pPr>
      <w:r>
        <w:rPr>
          <w:rFonts w:asciiTheme="minorHAnsi" w:hAnsiTheme="minorHAnsi" w:cstheme="minorHAnsi"/>
          <w:sz w:val="24"/>
          <w:szCs w:val="24"/>
          <w:u w:val="single"/>
        </w:rPr>
        <w:t>Se durante el</w:t>
      </w:r>
      <w:r w:rsidR="008B44DF">
        <w:rPr>
          <w:rFonts w:asciiTheme="minorHAnsi" w:hAnsiTheme="minorHAnsi" w:cstheme="minorHAnsi"/>
          <w:sz w:val="24"/>
          <w:szCs w:val="24"/>
          <w:u w:val="single"/>
        </w:rPr>
        <w:t xml:space="preserve"> último trimestre de 2022</w:t>
      </w:r>
      <w:r>
        <w:rPr>
          <w:rFonts w:asciiTheme="minorHAnsi" w:hAnsiTheme="minorHAnsi" w:cstheme="minorHAnsi"/>
          <w:sz w:val="24"/>
          <w:szCs w:val="24"/>
          <w:u w:val="single"/>
        </w:rPr>
        <w:t xml:space="preserve"> se realizaron depuración de saldos en cuentas de deudores, acreedores y obra pública para migrar a la versión S4 HANA del SAP.</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976CC57"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05EA7A59"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FB34BBF"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25AE1C70"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046D6418"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5D4724C" w14:textId="425E495E" w:rsidR="007A0DEF" w:rsidRDefault="007A0DEF" w:rsidP="007A0DEF">
      <w:pPr>
        <w:jc w:val="both"/>
        <w:rPr>
          <w:rFonts w:ascii="Arial" w:hAnsi="Arial" w:cs="Arial"/>
          <w:sz w:val="20"/>
          <w:szCs w:val="20"/>
          <w:u w:val="single"/>
        </w:rPr>
      </w:pPr>
      <w:r>
        <w:rPr>
          <w:rFonts w:ascii="Arial" w:hAnsi="Arial" w:cs="Arial"/>
          <w:sz w:val="20"/>
          <w:szCs w:val="20"/>
          <w:u w:val="single"/>
        </w:rPr>
        <w:t xml:space="preserve">Actualmente este Organismo operador se encuentra trabajando con el programa contable del SAP el cual al termino o cierre de cada ejercicio fiscal vigente realiza de manera automática las Depreciaciones de acuerdo a tasas fiscales de aquellos activos que fueron adquiridos durante el ejercicio fiscal vigente. En el ejercicio fiscal de 2015 se procedió a reconocer los trabajos de la valuación de los peritos, los cuales fueron contratados con el objeto de realizar una valuación tanto a los bienes muebles como inmuebles propiedad del organismo operador y que fueron adquiridos hasta antes de 2012 y ya se registraron todas estas variaciones se </w:t>
      </w:r>
      <w:r>
        <w:rPr>
          <w:rFonts w:ascii="Arial" w:hAnsi="Arial" w:cs="Arial"/>
          <w:sz w:val="20"/>
          <w:szCs w:val="20"/>
          <w:u w:val="single"/>
        </w:rPr>
        <w:lastRenderedPageBreak/>
        <w:t>actualizaron y se mandaron contra la cuenta de resultado de ejercicios anteriores</w:t>
      </w:r>
      <w:r w:rsidR="00253C0A">
        <w:rPr>
          <w:rFonts w:ascii="Arial" w:hAnsi="Arial" w:cs="Arial"/>
          <w:sz w:val="20"/>
          <w:szCs w:val="20"/>
          <w:u w:val="single"/>
        </w:rPr>
        <w:t>, durante el ejercicio fiscal de 2020 se hizo el reconocimiento de algunos activos fijos que se encontraban en los pozos, así como la reclasificación de algunos otros por no cumplir con las características de un activo fijo</w:t>
      </w:r>
      <w:r>
        <w:rPr>
          <w:rFonts w:ascii="Arial" w:hAnsi="Arial" w:cs="Arial"/>
          <w:sz w:val="20"/>
          <w:szCs w:val="20"/>
          <w:u w:val="single"/>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3CF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B8565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AD54329"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27E69E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392EE27" w14:textId="3ED76839" w:rsidR="007A0DEF" w:rsidRPr="007A0DEF" w:rsidRDefault="002B7167" w:rsidP="007A0DEF">
      <w:pPr>
        <w:tabs>
          <w:tab w:val="left" w:leader="underscore" w:pos="9639"/>
        </w:tabs>
        <w:spacing w:after="0" w:line="240" w:lineRule="auto"/>
        <w:jc w:val="both"/>
        <w:rPr>
          <w:rFonts w:cs="Calibri"/>
          <w:u w:val="single"/>
        </w:rPr>
      </w:pPr>
      <w:r>
        <w:rPr>
          <w:rFonts w:cs="Calibri"/>
          <w:u w:val="single"/>
        </w:rPr>
        <w:t>Se encuentra en proceso de resolución ante el juzgado corresp</w:t>
      </w:r>
      <w:r w:rsidR="009A547D">
        <w:rPr>
          <w:rFonts w:cs="Calibri"/>
          <w:u w:val="single"/>
        </w:rPr>
        <w:t>ondiente la determinación en cua</w:t>
      </w:r>
      <w:r>
        <w:rPr>
          <w:rFonts w:cs="Calibri"/>
          <w:u w:val="single"/>
        </w:rPr>
        <w:t>nto a la procedencia en la devolución de IVA a favor de los meses de Agosto y Septiembre  2020 por IVA proveniente de pago de Estimaciones de obra pública con recurso de procedencia federal, actualmente se tiene reconocido dentro del activo dicho IVA a favor así como de los meses subsecuentes.</w:t>
      </w:r>
      <w:r w:rsidR="009A547D">
        <w:rPr>
          <w:rFonts w:cs="Calibri"/>
          <w:u w:val="single"/>
        </w:rPr>
        <w:t xml:space="preserve"> Respecto a esta nota, en el mes de noviembre 2022 se tuvo una resolución positiva respecto al recurso ingresado del mes de septiembre por lo que el SAT procedió a hacer la devolución correspondiente, no así por el mes de agosto 2020.</w:t>
      </w:r>
      <w:r w:rsidR="003F3A4C">
        <w:rPr>
          <w:rFonts w:cs="Calibri"/>
          <w:u w:val="single"/>
        </w:rPr>
        <w:t xml:space="preserve"> En el primer trimestre de 2023 con base a esta resolución positiva se ingreso al Sat Los meses de Octubre, Noviembre y Diciembre 2020 para su devolución.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8C2893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A166BFB"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42086B" w14:textId="77777777" w:rsidR="007A0DEF" w:rsidRDefault="007A0DE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93938BA"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4E41A6F"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D86A66" w14:textId="7749CA55"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DD702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83B00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3043C54"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8B492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AA3DAA1"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BE5A41" w14:textId="7F720ECB" w:rsidR="007A0DEF" w:rsidRDefault="00D43B23" w:rsidP="007A0DEF">
      <w:pPr>
        <w:jc w:val="both"/>
        <w:rPr>
          <w:rFonts w:ascii="Arial" w:hAnsi="Arial" w:cs="Arial"/>
          <w:sz w:val="20"/>
          <w:szCs w:val="20"/>
          <w:u w:val="single"/>
        </w:rPr>
      </w:pPr>
      <w:r>
        <w:rPr>
          <w:rFonts w:ascii="Arial" w:hAnsi="Arial" w:cs="Arial"/>
          <w:sz w:val="20"/>
          <w:szCs w:val="20"/>
          <w:u w:val="single"/>
        </w:rPr>
        <w:t xml:space="preserve">Para este ejercicio de 2023 el entre inicia con nuevas tarifas de para el consumo de agua, en base a un estudio tarifario realizado en </w:t>
      </w:r>
      <w:r w:rsidR="007A0DEF">
        <w:rPr>
          <w:rFonts w:ascii="Arial" w:hAnsi="Arial" w:cs="Arial"/>
          <w:sz w:val="20"/>
          <w:szCs w:val="20"/>
          <w:u w:val="single"/>
        </w:rPr>
        <w:t>202</w:t>
      </w:r>
      <w:r w:rsidR="00B30D7D">
        <w:rPr>
          <w:rFonts w:ascii="Arial" w:hAnsi="Arial" w:cs="Arial"/>
          <w:sz w:val="20"/>
          <w:szCs w:val="20"/>
          <w:u w:val="single"/>
        </w:rPr>
        <w:t>2</w:t>
      </w:r>
      <w:r>
        <w:rPr>
          <w:rFonts w:ascii="Arial" w:hAnsi="Arial" w:cs="Arial"/>
          <w:sz w:val="20"/>
          <w:szCs w:val="20"/>
          <w:u w:val="single"/>
        </w:rPr>
        <w:t xml:space="preserve">, implementando la indexación en tarifas, en lo que respecta al 1er. Trimestre la recaudación ha sido favorable sin embargo se espera ver el </w:t>
      </w:r>
      <w:r w:rsidR="003B332A">
        <w:rPr>
          <w:rFonts w:ascii="Arial" w:hAnsi="Arial" w:cs="Arial"/>
          <w:sz w:val="20"/>
          <w:szCs w:val="20"/>
          <w:u w:val="single"/>
        </w:rPr>
        <w:t>impacto</w:t>
      </w:r>
      <w:r>
        <w:rPr>
          <w:rFonts w:ascii="Arial" w:hAnsi="Arial" w:cs="Arial"/>
          <w:sz w:val="20"/>
          <w:szCs w:val="20"/>
          <w:u w:val="single"/>
        </w:rPr>
        <w:t xml:space="preserve"> mayo</w:t>
      </w:r>
      <w:r w:rsidR="00AF3CA3">
        <w:rPr>
          <w:rFonts w:ascii="Arial" w:hAnsi="Arial" w:cs="Arial"/>
          <w:sz w:val="20"/>
          <w:szCs w:val="20"/>
          <w:u w:val="single"/>
        </w:rPr>
        <w:t>r</w:t>
      </w:r>
      <w:r>
        <w:rPr>
          <w:rFonts w:ascii="Arial" w:hAnsi="Arial" w:cs="Arial"/>
          <w:sz w:val="20"/>
          <w:szCs w:val="20"/>
          <w:u w:val="single"/>
        </w:rPr>
        <w:t xml:space="preserve"> de este cambio a partir del </w:t>
      </w:r>
      <w:r w:rsidR="003B332A">
        <w:rPr>
          <w:rFonts w:ascii="Arial" w:hAnsi="Arial" w:cs="Arial"/>
          <w:sz w:val="20"/>
          <w:szCs w:val="20"/>
          <w:u w:val="single"/>
        </w:rPr>
        <w:t>3er. Trimestre 2023</w:t>
      </w:r>
      <w:r w:rsidR="00B30D7D">
        <w:rPr>
          <w:rFonts w:ascii="Arial" w:hAnsi="Arial" w:cs="Arial"/>
          <w:sz w:val="20"/>
          <w:szCs w:val="20"/>
          <w:u w:val="single"/>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8B8F4D" w14:textId="5CE41812" w:rsidR="007A0DEF" w:rsidRDefault="00577518" w:rsidP="007A0DEF">
      <w:pPr>
        <w:jc w:val="both"/>
        <w:rPr>
          <w:rFonts w:ascii="Arial" w:hAnsi="Arial" w:cs="Arial"/>
          <w:sz w:val="20"/>
          <w:szCs w:val="20"/>
          <w:u w:val="single"/>
        </w:rPr>
      </w:pPr>
      <w:r>
        <w:rPr>
          <w:rFonts w:ascii="Arial" w:hAnsi="Arial" w:cs="Arial"/>
          <w:sz w:val="20"/>
          <w:szCs w:val="20"/>
          <w:u w:val="single"/>
        </w:rPr>
        <w:t>Se tiene contemplado que el pronóstico de ingresos se vea rebasado en por lo menos un 3</w:t>
      </w:r>
      <w:r w:rsidR="00C5284B">
        <w:rPr>
          <w:rFonts w:ascii="Arial" w:hAnsi="Arial" w:cs="Arial"/>
          <w:sz w:val="20"/>
          <w:szCs w:val="20"/>
          <w:u w:val="single"/>
        </w:rPr>
        <w:t>2</w:t>
      </w:r>
      <w:r>
        <w:rPr>
          <w:rFonts w:ascii="Arial" w:hAnsi="Arial" w:cs="Arial"/>
          <w:sz w:val="20"/>
          <w:szCs w:val="20"/>
          <w:u w:val="single"/>
        </w:rPr>
        <w:t>% al cierre del ejercicio 202</w:t>
      </w:r>
      <w:r w:rsidR="00AF3CA3">
        <w:rPr>
          <w:rFonts w:ascii="Arial" w:hAnsi="Arial" w:cs="Arial"/>
          <w:sz w:val="20"/>
          <w:szCs w:val="20"/>
          <w:u w:val="single"/>
        </w:rPr>
        <w:t>3</w:t>
      </w:r>
      <w:r>
        <w:rPr>
          <w:rFonts w:ascii="Arial" w:hAnsi="Arial" w:cs="Arial"/>
          <w:sz w:val="20"/>
          <w:szCs w:val="20"/>
          <w:u w:val="single"/>
        </w:rPr>
        <w:t>.</w:t>
      </w:r>
      <w:r w:rsidR="000A561E">
        <w:rPr>
          <w:rFonts w:ascii="Arial" w:hAnsi="Arial" w:cs="Arial"/>
          <w:sz w:val="20"/>
          <w:szCs w:val="20"/>
          <w:u w:val="single"/>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CCC4BB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480CB32"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43189920" w:rsidR="007D1E76" w:rsidRPr="00E74967" w:rsidRDefault="007D1E76" w:rsidP="00B57C15">
      <w:pPr>
        <w:pStyle w:val="Ttulo2"/>
        <w:rPr>
          <w:rFonts w:cs="Calibri"/>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DE64BD9" w14:textId="5E29D4B7" w:rsidR="007A0DEF" w:rsidRDefault="007A0DEF" w:rsidP="007A0DEF">
      <w:pPr>
        <w:jc w:val="both"/>
        <w:rPr>
          <w:rFonts w:ascii="Arial" w:hAnsi="Arial" w:cs="Arial"/>
          <w:sz w:val="20"/>
          <w:szCs w:val="20"/>
          <w:u w:val="single"/>
        </w:rPr>
      </w:pPr>
      <w:r>
        <w:rPr>
          <w:rFonts w:ascii="Arial" w:hAnsi="Arial" w:cs="Arial"/>
          <w:sz w:val="20"/>
          <w:szCs w:val="20"/>
          <w:u w:val="single"/>
        </w:rPr>
        <w:t xml:space="preserve">Se continua con el manejo de  varios formatos de control interno como son; vales de salida de material, vales de entrada de material no utilizado en los trabajos a realizar, bitácoras de materiales, checador facial para controlar las asistencias del personal, formato de control de vacaciones, recibo de nómina, firma de formatos del resguardo del material, así como de los activos que se encuentran en uso del personal, aviso de suspensión del servicio de agua, aviso de notificación de adeudo, aviso de multa, formato de la contratación del servicio, formatos de reportes de fuga, desazolve, etc. </w:t>
      </w:r>
      <w:r w:rsidR="00D5020F">
        <w:rPr>
          <w:rFonts w:ascii="Arial" w:hAnsi="Arial" w:cs="Arial"/>
          <w:sz w:val="20"/>
          <w:szCs w:val="20"/>
          <w:u w:val="single"/>
        </w:rPr>
        <w:t>Este año fueron autorizados los Principios de Racionalidad, Austeridad, y Disciplina del Gasto Público para el SAPAF 202</w:t>
      </w:r>
      <w:r w:rsidR="00E63FEA">
        <w:rPr>
          <w:rFonts w:ascii="Arial" w:hAnsi="Arial" w:cs="Arial"/>
          <w:sz w:val="20"/>
          <w:szCs w:val="20"/>
          <w:u w:val="single"/>
        </w:rPr>
        <w:t>3</w:t>
      </w:r>
    </w:p>
    <w:p w14:paraId="05D248AD" w14:textId="77777777" w:rsidR="001A41B2" w:rsidRDefault="001A41B2" w:rsidP="007A0DEF">
      <w:pPr>
        <w:jc w:val="both"/>
        <w:rPr>
          <w:rFonts w:ascii="Arial" w:hAnsi="Arial" w:cs="Arial"/>
          <w:sz w:val="20"/>
          <w:szCs w:val="20"/>
          <w:u w:val="single"/>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D4C640E" w14:textId="77777777" w:rsidR="007A0DEF" w:rsidRDefault="007A0DEF" w:rsidP="007A0DEF">
      <w:pPr>
        <w:jc w:val="both"/>
        <w:rPr>
          <w:rFonts w:ascii="Arial" w:hAnsi="Arial" w:cs="Arial"/>
          <w:sz w:val="20"/>
          <w:szCs w:val="20"/>
          <w:u w:val="single"/>
        </w:rPr>
      </w:pPr>
      <w:r>
        <w:rPr>
          <w:rFonts w:ascii="Arial" w:hAnsi="Arial" w:cs="Arial"/>
          <w:sz w:val="20"/>
          <w:szCs w:val="20"/>
          <w:u w:val="single"/>
        </w:rPr>
        <w:t>Se realizan reuniones periódicas con el personal encargado de cada una de las áreas para verificar el desarrollo de sus actividades, así como el cumplimiento de las metas que se hayan establecido en cada una de las gerencias. Así mismo son entregados a la Dirección General informes mensuales por cada una de las áreas y de esta manera se verifica el cumplimiento de las metas y objetivos de cada una de las mismas.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F0D2DB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757003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725E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07A045F7"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AA8BED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07CA896F"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CA4C025" w14:textId="0007103D" w:rsidR="004671C2" w:rsidRDefault="004671C2" w:rsidP="004671C2">
      <w:pPr>
        <w:pBdr>
          <w:bottom w:val="single" w:sz="12" w:space="1" w:color="auto"/>
        </w:pBdr>
        <w:tabs>
          <w:tab w:val="left" w:leader="underscore" w:pos="9639"/>
        </w:tabs>
        <w:spacing w:after="0" w:line="240" w:lineRule="auto"/>
        <w:jc w:val="right"/>
        <w:rPr>
          <w:rFonts w:cs="Calibri"/>
        </w:rPr>
      </w:pPr>
      <w:r w:rsidRPr="004671C2">
        <w:rPr>
          <w:rFonts w:cs="Calibri"/>
          <w:noProof/>
          <w:lang w:eastAsia="es-MX"/>
        </w:rPr>
        <mc:AlternateContent>
          <mc:Choice Requires="wps">
            <w:drawing>
              <wp:anchor distT="45720" distB="45720" distL="114300" distR="114300" simplePos="0" relativeHeight="251659264" behindDoc="0" locked="0" layoutInCell="1" allowOverlap="1" wp14:anchorId="4308F0E2" wp14:editId="6F7700AC">
                <wp:simplePos x="0" y="0"/>
                <wp:positionH relativeFrom="margin">
                  <wp:align>left</wp:align>
                </wp:positionH>
                <wp:positionV relativeFrom="paragraph">
                  <wp:posOffset>875030</wp:posOffset>
                </wp:positionV>
                <wp:extent cx="621982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chemeClr val="bg1"/>
                          </a:solidFill>
                          <a:miter lim="800000"/>
                          <a:headEnd/>
                          <a:tailEnd/>
                        </a:ln>
                      </wps:spPr>
                      <wps:txbx>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8F0E2" id="_x0000_t202" coordsize="21600,21600" o:spt="202" path="m,l,21600r21600,l21600,xe">
                <v:stroke joinstyle="miter"/>
                <v:path gradientshapeok="t" o:connecttype="rect"/>
              </v:shapetype>
              <v:shape id="Cuadro de texto 2" o:spid="_x0000_s1026" type="#_x0000_t202" style="position:absolute;left:0;text-align:left;margin-left:0;margin-top:68.9pt;width:48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" strokecolor="white [3212]">
                <v:textbox style="mso-fit-shape-to-text:t">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v:textbox>
                <w10:wrap type="square" anchorx="margin"/>
              </v:shape>
            </w:pict>
          </mc:Fallback>
        </mc:AlternateContent>
      </w:r>
    </w:p>
    <w:sectPr w:rsidR="004671C2"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BC6B" w14:textId="77777777" w:rsidR="003C6102" w:rsidRDefault="003C6102" w:rsidP="00E00323">
      <w:pPr>
        <w:spacing w:after="0" w:line="240" w:lineRule="auto"/>
      </w:pPr>
      <w:r>
        <w:separator/>
      </w:r>
    </w:p>
  </w:endnote>
  <w:endnote w:type="continuationSeparator" w:id="0">
    <w:p w14:paraId="6E9D8A7B" w14:textId="77777777" w:rsidR="003C6102" w:rsidRDefault="003C610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8530CF0" w:rsidR="0012405A" w:rsidRDefault="0012405A">
        <w:pPr>
          <w:pStyle w:val="Piedepgina"/>
          <w:jc w:val="right"/>
        </w:pPr>
        <w:r>
          <w:fldChar w:fldCharType="begin"/>
        </w:r>
        <w:r>
          <w:instrText>PAGE   \* MERGEFORMAT</w:instrText>
        </w:r>
        <w:r>
          <w:fldChar w:fldCharType="separate"/>
        </w:r>
        <w:r w:rsidR="004B1C6D" w:rsidRPr="004B1C6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2FD8" w14:textId="77777777" w:rsidR="003C6102" w:rsidRDefault="003C6102" w:rsidP="00E00323">
      <w:pPr>
        <w:spacing w:after="0" w:line="240" w:lineRule="auto"/>
      </w:pPr>
      <w:r>
        <w:separator/>
      </w:r>
    </w:p>
  </w:footnote>
  <w:footnote w:type="continuationSeparator" w:id="0">
    <w:p w14:paraId="3A501E60" w14:textId="77777777" w:rsidR="003C6102" w:rsidRDefault="003C610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C79C9C3" w:rsidR="00154BA3" w:rsidRDefault="00441922" w:rsidP="00A4610E">
    <w:pPr>
      <w:pStyle w:val="Encabezado"/>
      <w:spacing w:after="0" w:line="240" w:lineRule="auto"/>
      <w:jc w:val="center"/>
    </w:pPr>
    <w:r>
      <w:t>SISTEMA DE AGUA POTABLE Y ALCANTARILLADO DE SAN FRANCISCO DEL RINCON, GTO.</w:t>
    </w:r>
  </w:p>
  <w:p w14:paraId="651A4C4F" w14:textId="716E0087" w:rsidR="00A4610E" w:rsidRDefault="00441922" w:rsidP="00A4610E">
    <w:pPr>
      <w:pStyle w:val="Encabezado"/>
      <w:spacing w:after="0" w:line="240" w:lineRule="auto"/>
      <w:jc w:val="center"/>
    </w:pPr>
    <w:r>
      <w:t>CORRESPONDI</w:t>
    </w:r>
    <w:r w:rsidR="00CF110B">
      <w:t>E</w:t>
    </w:r>
    <w:r>
      <w:t xml:space="preserve">NTES AL </w:t>
    </w:r>
    <w:r w:rsidR="004B1C6D">
      <w:t>2o</w:t>
    </w:r>
    <w:r w:rsidR="00086888">
      <w:t>.</w:t>
    </w:r>
    <w:r w:rsidR="003B080E">
      <w:t xml:space="preserve"> </w:t>
    </w:r>
    <w:r w:rsidR="00086888">
      <w:t>TRIMESTRE DE 2023</w:t>
    </w:r>
  </w:p>
  <w:p w14:paraId="59E1F309" w14:textId="77777777" w:rsidR="00253C0A" w:rsidRDefault="00253C0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6888"/>
    <w:rsid w:val="00091CE6"/>
    <w:rsid w:val="000A561E"/>
    <w:rsid w:val="000B7810"/>
    <w:rsid w:val="000C3365"/>
    <w:rsid w:val="000E7E96"/>
    <w:rsid w:val="0012405A"/>
    <w:rsid w:val="00154BA3"/>
    <w:rsid w:val="001740C8"/>
    <w:rsid w:val="0017679E"/>
    <w:rsid w:val="00177FD7"/>
    <w:rsid w:val="001973A2"/>
    <w:rsid w:val="001A41B2"/>
    <w:rsid w:val="001B59B9"/>
    <w:rsid w:val="001C75F2"/>
    <w:rsid w:val="001D2063"/>
    <w:rsid w:val="001D43E9"/>
    <w:rsid w:val="001F30A0"/>
    <w:rsid w:val="002046A3"/>
    <w:rsid w:val="00253C0A"/>
    <w:rsid w:val="002B7167"/>
    <w:rsid w:val="003453CA"/>
    <w:rsid w:val="003914F2"/>
    <w:rsid w:val="003A0F99"/>
    <w:rsid w:val="003B080E"/>
    <w:rsid w:val="003B1616"/>
    <w:rsid w:val="003B332A"/>
    <w:rsid w:val="003C5228"/>
    <w:rsid w:val="003C6102"/>
    <w:rsid w:val="003F3A4C"/>
    <w:rsid w:val="00435A87"/>
    <w:rsid w:val="00441922"/>
    <w:rsid w:val="004671C2"/>
    <w:rsid w:val="004A58C8"/>
    <w:rsid w:val="004B1C6D"/>
    <w:rsid w:val="004D6976"/>
    <w:rsid w:val="004F234D"/>
    <w:rsid w:val="00537680"/>
    <w:rsid w:val="0054701E"/>
    <w:rsid w:val="00577518"/>
    <w:rsid w:val="005820F0"/>
    <w:rsid w:val="005B5531"/>
    <w:rsid w:val="005D3E43"/>
    <w:rsid w:val="005E231E"/>
    <w:rsid w:val="00601CC5"/>
    <w:rsid w:val="00657009"/>
    <w:rsid w:val="00681C79"/>
    <w:rsid w:val="00745FA0"/>
    <w:rsid w:val="007610BC"/>
    <w:rsid w:val="00761FA4"/>
    <w:rsid w:val="007714AB"/>
    <w:rsid w:val="007A0DEF"/>
    <w:rsid w:val="007D1E76"/>
    <w:rsid w:val="007D4484"/>
    <w:rsid w:val="008216AF"/>
    <w:rsid w:val="00862326"/>
    <w:rsid w:val="0086459F"/>
    <w:rsid w:val="00880E8C"/>
    <w:rsid w:val="00881538"/>
    <w:rsid w:val="008940B7"/>
    <w:rsid w:val="008B44DF"/>
    <w:rsid w:val="008C3BB8"/>
    <w:rsid w:val="008D12E5"/>
    <w:rsid w:val="008E076C"/>
    <w:rsid w:val="00914881"/>
    <w:rsid w:val="0092765C"/>
    <w:rsid w:val="009A547D"/>
    <w:rsid w:val="009D707F"/>
    <w:rsid w:val="00A366E3"/>
    <w:rsid w:val="00A4610E"/>
    <w:rsid w:val="00A467CC"/>
    <w:rsid w:val="00A5483E"/>
    <w:rsid w:val="00A60EA4"/>
    <w:rsid w:val="00A730E0"/>
    <w:rsid w:val="00AA41E5"/>
    <w:rsid w:val="00AB722B"/>
    <w:rsid w:val="00AE1F6A"/>
    <w:rsid w:val="00AF3CA3"/>
    <w:rsid w:val="00B30D7D"/>
    <w:rsid w:val="00B3174A"/>
    <w:rsid w:val="00B57C15"/>
    <w:rsid w:val="00BC0D91"/>
    <w:rsid w:val="00BC105F"/>
    <w:rsid w:val="00BF556A"/>
    <w:rsid w:val="00BF5E07"/>
    <w:rsid w:val="00C12E2B"/>
    <w:rsid w:val="00C5284B"/>
    <w:rsid w:val="00C725E5"/>
    <w:rsid w:val="00C97E1E"/>
    <w:rsid w:val="00CB41C4"/>
    <w:rsid w:val="00CF110B"/>
    <w:rsid w:val="00CF1316"/>
    <w:rsid w:val="00D13C44"/>
    <w:rsid w:val="00D43B23"/>
    <w:rsid w:val="00D5020F"/>
    <w:rsid w:val="00D975B1"/>
    <w:rsid w:val="00E00323"/>
    <w:rsid w:val="00E62F44"/>
    <w:rsid w:val="00E63FEA"/>
    <w:rsid w:val="00E672BD"/>
    <w:rsid w:val="00E74967"/>
    <w:rsid w:val="00E7559F"/>
    <w:rsid w:val="00EA37F5"/>
    <w:rsid w:val="00EA7915"/>
    <w:rsid w:val="00EE32B6"/>
    <w:rsid w:val="00EE3D08"/>
    <w:rsid w:val="00F30312"/>
    <w:rsid w:val="00F46719"/>
    <w:rsid w:val="00F54F6F"/>
    <w:rsid w:val="00F65A92"/>
    <w:rsid w:val="00F750C7"/>
    <w:rsid w:val="00FB6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A1E284-D364-4ADC-AA72-0AEE0E51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3374</Words>
  <Characters>18562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GAF01</cp:lastModifiedBy>
  <cp:revision>16</cp:revision>
  <cp:lastPrinted>2023-04-27T18:08:00Z</cp:lastPrinted>
  <dcterms:created xsi:type="dcterms:W3CDTF">2023-01-24T18:02:00Z</dcterms:created>
  <dcterms:modified xsi:type="dcterms:W3CDTF">2023-08-15T00:01:00Z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